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9.png" ContentType="image/png"/>
  <Override PartName="/word/media/rId21.png" ContentType="image/png"/>
  <Override PartName="/word/media/rId6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2024-10-19</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darkening events of seagrass beds have been observed following episodes of intense heat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61" w:name="material-methods"/>
    <w:p>
      <w:pPr>
        <w:pStyle w:val="Heading1"/>
      </w:pPr>
      <w:r>
        <w:t xml:space="preserve">2. Material &amp; Methods</w:t>
      </w:r>
    </w:p>
    <w:bookmarkStart w:id="37" w:name="X27a1969d5b72398d0a273597903fb82da79178c"/>
    <w:p>
      <w:pPr>
        <w:pStyle w:val="Heading2"/>
      </w:pPr>
      <w:r>
        <w:t xml:space="preserve">2.1 Observation of seagrass leaves darkening.</w:t>
      </w:r>
    </w:p>
    <w:bookmarkStart w:id="31" w:name="field-observation"/>
    <w:p>
      <w:pPr>
        <w:pStyle w:val="Heading3"/>
      </w:pPr>
      <w:r>
        <w:t xml:space="preserve">2.1.1 Field Observation</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456777"/>
                  <wp:effectExtent b="0" l="0" r="0" t="0"/>
                  <wp:docPr descr="" title="" id="22" name="Picture"/>
                  <a:graphic>
                    <a:graphicData uri="http://schemas.openxmlformats.org/drawingml/2006/picture">
                      <pic:pic>
                        <pic:nvPicPr>
                          <pic:cNvPr descr="Figs/Low_res/Quiberon_map.png" id="23" name="Picture"/>
                          <pic:cNvPicPr>
                            <a:picLocks noChangeArrowheads="1" noChangeAspect="1"/>
                          </pic:cNvPicPr>
                        </pic:nvPicPr>
                        <pic:blipFill>
                          <a:blip r:embed="rId21"/>
                          <a:stretch>
                            <a:fillRect/>
                          </a:stretch>
                        </pic:blipFill>
                        <pic:spPr bwMode="auto">
                          <a:xfrm>
                            <a:off x="0" y="0"/>
                            <a:ext cx="5334000" cy="54567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healthy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w:t>
      </w:r>
      <w:r>
        <w:t xml:space="preserve">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w:t>
      </w:r>
      <w:r>
        <w:t xml:space="preserve"> </w:t>
      </w:r>
      <w:hyperlink w:anchor="fig-QuiberonImg">
        <w:r>
          <w:rPr>
            <w:rStyle w:val="Hyperlink"/>
          </w:rPr>
          <w:t xml:space="preserve">Figure 2</w:t>
        </w:r>
      </w:hyperlink>
      <w:r>
        <w:t xml:space="preserve">.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285 Ground Control Points (GCPs) were collected in the form of georeferenced quadrat images across the meadow . These images allow for visual assessment of vegetation type, density, and health status. The images were then divided into two categories: Healthy seagrasses and darkened seagrasses, based on a visual estimation of the leaf condition</w:t>
      </w:r>
      <w:r>
        <w:t xml:space="preserve">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5334000" cy="3526559"/>
                  <wp:effectExtent b="0" l="0" r="0" t="0"/>
                  <wp:docPr descr="" title="" id="27" name="Picture"/>
                  <a:graphic>
                    <a:graphicData uri="http://schemas.openxmlformats.org/drawingml/2006/picture">
                      <pic:pic>
                        <pic:nvPicPr>
                          <pic:cNvPr descr="Figs/Low_res/img_Quiberon.png" id="28" name="Picture"/>
                          <pic:cNvPicPr>
                            <a:picLocks noChangeArrowheads="1" noChangeAspect="1"/>
                          </pic:cNvPicPr>
                        </pic:nvPicPr>
                        <pic:blipFill>
                          <a:blip r:embed="rId26"/>
                          <a:stretch>
                            <a:fillRect/>
                          </a:stretch>
                        </pic:blipFill>
                        <pic:spPr bwMode="auto">
                          <a:xfrm>
                            <a:off x="0" y="0"/>
                            <a:ext cx="5334000" cy="35265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healthy green meadow; B: Quadrat images of healthy seagrasses; C: Quadrat images of darkened seagrasses; D: Global view of an unhealthy darkened meadow. All images were taken on September 10th, 2021, in Quiberon.</w:t>
            </w:r>
          </w:p>
          <w:bookmarkEnd w:id="29"/>
        </w:tc>
      </w:tr>
    </w:tbl>
    <w:bookmarkEnd w:id="30"/>
    <w:bookmarkEnd w:id="31"/>
    <w:bookmarkStart w:id="32" w:name="satellite-observation"/>
    <w:p>
      <w:pPr>
        <w:pStyle w:val="Heading3"/>
      </w:pPr>
      <w:r>
        <w:t xml:space="preserve">2.1.2 Satellite Observation</w:t>
      </w:r>
    </w:p>
    <w:p>
      <w:pPr>
        <w:pStyle w:val="FirstParagraph"/>
      </w:pPr>
      <w:r>
        <w:t xml:space="preserve">Add S2 paragraph.</w:t>
      </w:r>
    </w:p>
    <w:bookmarkEnd w:id="32"/>
    <w:bookmarkStart w:id="36" w:name="X73fb4b6725bb43bdc3c17946b41d73eba45f33b"/>
    <w:p>
      <w:pPr>
        <w:pStyle w:val="Heading3"/>
      </w:pPr>
      <w:r>
        <w:t xml:space="preserve">2.1.3 Temparature Data and identification of heatwaves</w:t>
      </w:r>
    </w:p>
    <w:bookmarkStart w:id="34" w:name="air-temperature"/>
    <w:p>
      <w:pPr>
        <w:pStyle w:val="Heading4"/>
      </w:pPr>
      <w:r>
        <w:t xml:space="preserve">2.1.3.1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3">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 Following the methodology of</w:t>
      </w:r>
      <w:r>
        <w:t xml:space="preserve"> </w:t>
      </w:r>
      <w:r>
        <w:t xml:space="preserve">Schlegel et al. (2017)</w:t>
      </w:r>
      <w:r>
        <w:t xml:space="preserve">, coldspell events corresponding to temperature bellow the percentile 10th of the climatology during 3 consecutives days have also been measured.</w:t>
      </w:r>
    </w:p>
    <w:p>
      <w:pPr>
        <w:pStyle w:val="BodyText"/>
      </w:pPr>
      <w:r>
        <w:t xml:space="preserve">Concerning heatwaves event near Quiberon, this methodology has been apply solely on the nearest weather station of our study site (Lorient-Lann Bihoue, 47°45’46”N 3°26’11”W , more than 395000 observation since the 1st of February 1952).</w:t>
      </w:r>
    </w:p>
    <w:bookmarkEnd w:id="34"/>
    <w:bookmarkStart w:id="35" w:name="water-temperature"/>
    <w:p>
      <w:pPr>
        <w:pStyle w:val="Heading4"/>
      </w:pPr>
      <w:r>
        <w:t xml:space="preserve">2.1.3.2 Water temperature</w:t>
      </w:r>
    </w:p>
    <w:p>
      <w:pPr>
        <w:pStyle w:val="FirstParagraph"/>
      </w:pPr>
      <w:r>
        <w:t xml:space="preserve">Sea Surface Temperature (SST) data were downloaded from the Copernicus CMEMS platform</w:t>
      </w:r>
      <w:r>
        <w:t xml:space="preserve"> </w:t>
      </w:r>
      <w:r>
        <w:t xml:space="preserve">(CMEMS, 2024)</w:t>
      </w:r>
      <w:r>
        <w:t xml:space="preserve"> </w:t>
      </w:r>
      <w:r>
        <w:t xml:space="preserve">for the French coast, covering the period from 1982 to 2022. Only pixels within an area of 2700 km² around Quiberon, Brittany, France (47°29′03″N, 3°07′09″W) were extracted and analyzed. This area was large enough to minimize missing values caused by cloud cover, yet small enough to avoid being influenced by the stability of offshore SST. After the masking step, a daily average of the remaining pixels was calculated, resulting in a daily mean SST value for the entire time series. Using this daily average since 1982, the SST climatology was computed with the HeatwaveR package in R</w:t>
      </w:r>
      <w:r>
        <w:t xml:space="preserve"> </w:t>
      </w:r>
      <w:r>
        <w:t xml:space="preserve">(Schlegel and Smit, 2018)</w:t>
      </w:r>
      <w:r>
        <w:t xml:space="preserve">. The same methodology used to detect air temperature events was applied to identify SST events.</w:t>
      </w:r>
    </w:p>
    <w:bookmarkEnd w:id="35"/>
    <w:bookmarkEnd w:id="36"/>
    <w:bookmarkEnd w:id="37"/>
    <w:bookmarkStart w:id="60" w:name="laboratory-experiment"/>
    <w:p>
      <w:pPr>
        <w:pStyle w:val="Heading2"/>
      </w:pPr>
      <w:r>
        <w:t xml:space="preserve">2.2 Laboratory experiment</w:t>
      </w:r>
    </w:p>
    <w:bookmarkStart w:id="38"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The seagrass, along with sediment, meiofauna, and macrofauna, was placed in plastic trays.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38"/>
    <w:bookmarkStart w:id="50" w:name="experimental-design"/>
    <w:p>
      <w:pPr>
        <w:pStyle w:val="Heading3"/>
      </w:pPr>
      <w:r>
        <w:t xml:space="preserve">2.2.2 Experimental design</w:t>
      </w:r>
    </w:p>
    <w:bookmarkStart w:id="43" w:name="cell-fig-design"/>
    <w:tbl>
      <w:tblPr>
        <w:tblStyle w:val="Table"/>
        <w:tblW w:type="pct" w:w="5000"/>
        <w:tblLayout w:type="fixed"/>
        <w:tblLook w:firstRow="0" w:lastRow="0" w:firstColumn="0" w:lastColumn="0" w:noHBand="0" w:noVBand="0" w:val="0000"/>
      </w:tblPr>
      <w:tblGrid>
        <w:gridCol w:w="7920"/>
      </w:tblGrid>
      <w:tr>
        <w:tc>
          <w:tcPr/>
          <w:bookmarkStart w:id="42" w:name="fig-design"/>
          <w:p>
            <w:pPr>
              <w:pStyle w:val="Compact"/>
              <w:jc w:val="center"/>
            </w:pPr>
            <w:r>
              <w:drawing>
                <wp:inline>
                  <wp:extent cx="5334000" cy="5246716"/>
                  <wp:effectExtent b="0" l="0" r="0" t="0"/>
                  <wp:docPr descr="" title="" id="40" name="Picture"/>
                  <a:graphic>
                    <a:graphicData uri="http://schemas.openxmlformats.org/drawingml/2006/picture">
                      <pic:pic>
                        <pic:nvPicPr>
                          <pic:cNvPr descr="Figs/Low_res/Experimental_design.png" id="41" name="Picture"/>
                          <pic:cNvPicPr>
                            <a:picLocks noChangeArrowheads="1" noChangeAspect="1"/>
                          </pic:cNvPicPr>
                        </pic:nvPicPr>
                        <pic:blipFill>
                          <a:blip r:embed="rId39"/>
                          <a:stretch>
                            <a:fillRect/>
                          </a:stretch>
                        </pic:blipFill>
                        <pic:spPr bwMode="auto">
                          <a:xfrm>
                            <a:off x="0" y="0"/>
                            <a:ext cx="5334000" cy="5246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2"/>
        </w:tc>
      </w:tr>
    </w:tbl>
    <w:bookmarkEnd w:id="43"/>
    <w:p>
      <w:pPr>
        <w:pStyle w:val="BodyText"/>
      </w:pPr>
      <w:r>
        <w:t xml:space="preserve">Two intertidal chambers from</w:t>
      </w:r>
      <w:r>
        <w:t xml:space="preserve"> </w:t>
      </w:r>
      <w:hyperlink r:id="rId44">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4</w:t>
        </w:r>
      </w:hyperlink>
      <w:r>
        <w:t xml:space="preserve"> </w:t>
      </w:r>
      <w:r>
        <w:t xml:space="preserve">left). For the experimental treatment, the air temperature was set to mimic an atmospheric heatwave that occurred over the seagrass meadow of Porh Saint-Guénël, Plouharnel, France (47°35’40.0”N, 3°07’30.0”W) from August 26,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4</w:t>
        </w:r>
      </w:hyperlink>
      <w:r>
        <w:t xml:space="preserve"> </w:t>
      </w:r>
      <w:r>
        <w:t xml:space="preserve">right).</w:t>
      </w:r>
    </w:p>
    <w:bookmarkStart w:id="49" w:name="cell-fig-Profile"/>
    <w:tbl>
      <w:tblPr>
        <w:tblStyle w:val="Table"/>
        <w:tblW w:type="pct" w:w="5000"/>
        <w:tblLayout w:type="fixed"/>
        <w:tblLook w:firstRow="0" w:lastRow="0" w:firstColumn="0" w:lastColumn="0" w:noHBand="0" w:noVBand="0" w:val="0000"/>
      </w:tblPr>
      <w:tblGrid>
        <w:gridCol w:w="7920"/>
      </w:tblGrid>
      <w:tr>
        <w:tc>
          <w:tcPr/>
          <w:bookmarkStart w:id="48" w:name="fig-Profile"/>
          <w:p>
            <w:pPr>
              <w:pStyle w:val="Compact"/>
              <w:jc w:val="center"/>
            </w:pPr>
            <w:r>
              <w:drawing>
                <wp:inline>
                  <wp:extent cx="5334000" cy="2439728"/>
                  <wp:effectExtent b="0" l="0" r="0" t="0"/>
                  <wp:docPr descr="" title="" id="46" name="Picture"/>
                  <a:graphic>
                    <a:graphicData uri="http://schemas.openxmlformats.org/drawingml/2006/picture">
                      <pic:pic>
                        <pic:nvPicPr>
                          <pic:cNvPr descr="Figs/Low_res/Chamber_Profils.png" id="47" name="Picture"/>
                          <pic:cNvPicPr>
                            <a:picLocks noChangeArrowheads="1" noChangeAspect="1"/>
                          </pic:cNvPicPr>
                        </pic:nvPicPr>
                        <pic:blipFill>
                          <a:blip r:embed="rId45"/>
                          <a:stretch>
                            <a:fillRect/>
                          </a:stretch>
                        </pic:blipFill>
                        <pic:spPr bwMode="auto">
                          <a:xfrm>
                            <a:off x="0" y="0"/>
                            <a:ext cx="5334000" cy="2439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48"/>
        </w:tc>
      </w:tr>
    </w:tbl>
    <w:bookmarkEnd w:id="49"/>
    <w:bookmarkEnd w:id="50"/>
    <w:bookmarkStart w:id="59" w:name="Xace924ada36ed3f851fe125e1fb1311c1764a5d"/>
    <w:p>
      <w:pPr>
        <w:pStyle w:val="Heading3"/>
      </w:pPr>
      <w:r>
        <w:t xml:space="preserve">2.2.3 Bio-optical measurmenents over seagrass leaves</w:t>
      </w:r>
    </w:p>
    <w:bookmarkStart w:id="57" w:name="hyperspectral-measurements"/>
    <w:p>
      <w:pPr>
        <w:pStyle w:val="Heading4"/>
      </w:pPr>
      <w:r>
        <w:t xml:space="preserve">2.2.3.1 Hyperspectral measurements</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51">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52"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52"/>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53"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53"/>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54"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54"/>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55" w:name="multispectral-imagery-measurement"/>
      <w:r>
        <w:t xml:space="preserve">2.2.3.2 Multispectral imagery measurement</w:t>
      </w:r>
      <w:bookmarkEnd w:id="55"/>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56">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57"/>
    <w:bookmarkStart w:id="58" w:name="pigment-concentration-measurements"/>
    <w:p>
      <w:pPr>
        <w:pStyle w:val="Heading4"/>
      </w:pPr>
      <w:r>
        <w:t xml:space="preserve">2.2.3.3 Pigment concentration measurements</w:t>
      </w:r>
    </w:p>
    <w:p>
      <w:pPr>
        <w:pStyle w:val="FirstParagraph"/>
      </w:pPr>
      <w:r>
        <w:t xml:space="preserve">At the beginning and the end of each diurnal low tide (09:00 am and 03:00 pm) leaves samples have been took in both the test and the control. leaves sampled have been stored under -80°C waiting for analysis.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SHIMADZU).</w:t>
      </w:r>
    </w:p>
    <w:p>
      <w:pPr>
        <w:pStyle w:val="BodyText"/>
      </w:pPr>
      <w:r>
        <w:rPr>
          <w:b/>
          <w:bCs/>
        </w:rPr>
        <w:t xml:space="preserve">Au secours Philippe !!!</w:t>
      </w:r>
    </w:p>
    <w:bookmarkEnd w:id="58"/>
    <w:bookmarkEnd w:id="59"/>
    <w:bookmarkEnd w:id="60"/>
    <w:bookmarkEnd w:id="61"/>
    <w:bookmarkStart w:id="67" w:name="results"/>
    <w:p>
      <w:pPr>
        <w:pStyle w:val="Heading1"/>
      </w:pPr>
      <w:r>
        <w:t xml:space="preserve">3. Results</w:t>
      </w:r>
    </w:p>
    <w:bookmarkStart w:id="66" w:name="cell-fig-Temp_plot_S2"/>
    <w:tbl>
      <w:tblPr>
        <w:tblStyle w:val="Table"/>
        <w:tblW w:type="pct" w:w="5000"/>
        <w:tblLayout w:type="fixed"/>
        <w:tblLook w:firstRow="0" w:lastRow="0" w:firstColumn="0" w:lastColumn="0" w:noHBand="0" w:noVBand="0" w:val="0000"/>
      </w:tblPr>
      <w:tblGrid>
        <w:gridCol w:w="7920"/>
      </w:tblGrid>
      <w:tr>
        <w:tc>
          <w:tcPr/>
          <w:bookmarkStart w:id="65" w:name="fig-Temp_plot_S2"/>
          <w:p>
            <w:pPr>
              <w:pStyle w:val="Compact"/>
              <w:jc w:val="center"/>
            </w:pPr>
            <w:r>
              <w:drawing>
                <wp:inline>
                  <wp:extent cx="5334000" cy="2034435"/>
                  <wp:effectExtent b="0" l="0" r="0" t="0"/>
                  <wp:docPr descr="" title="" id="63" name="Picture"/>
                  <a:graphic>
                    <a:graphicData uri="http://schemas.openxmlformats.org/drawingml/2006/picture">
                      <pic:pic>
                        <pic:nvPicPr>
                          <pic:cNvPr descr="Figs/Low_res/SST_Air_S2.png" id="64" name="Picture"/>
                          <pic:cNvPicPr>
                            <a:picLocks noChangeArrowheads="1" noChangeAspect="1"/>
                          </pic:cNvPicPr>
                        </pic:nvPicPr>
                        <pic:blipFill>
                          <a:blip r:embed="rId62"/>
                          <a:stretch>
                            <a:fillRect/>
                          </a:stretch>
                        </pic:blipFill>
                        <pic:spPr bwMode="auto">
                          <a:xfrm>
                            <a:off x="0" y="0"/>
                            <a:ext cx="5334000" cy="20344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Visual inspection of the meadow before (left) and after (right) of both marine heatwave and atmospherical heatwave (center). In the center plot, colored lines show 90th percentile of SST (blue) and air temperature (red), while colored polygons represent Marine heatwave (blue) and atmospherical heatwave (red). Darklines represent air temperature (top) and SST (bottom).</w:t>
            </w:r>
          </w:p>
          <w:bookmarkEnd w:id="65"/>
        </w:tc>
      </w:tr>
    </w:tbl>
    <w:bookmarkEnd w:id="66"/>
    <w:bookmarkEnd w:id="67"/>
    <w:bookmarkStart w:id="100" w:name="bibliography"/>
    <w:p>
      <w:pPr>
        <w:pStyle w:val="Heading1"/>
      </w:pPr>
      <w:r>
        <w:t xml:space="preserve">4. Bibliography</w:t>
      </w:r>
    </w:p>
    <w:bookmarkStart w:id="99" w:name="refs"/>
    <w:bookmarkStart w:id="68"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68"/>
    <w:bookmarkStart w:id="69"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69"/>
    <w:bookmarkStart w:id="71"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70">
        <w:r>
          <w:rPr>
            <w:rStyle w:val="Hyperlink"/>
          </w:rPr>
          <w:t xml:space="preserve">https://doi.org/10.48670/moi-00311</w:t>
        </w:r>
      </w:hyperlink>
    </w:p>
    <w:bookmarkEnd w:id="71"/>
    <w:bookmarkStart w:id="72" w:name="ref-deguette2022physiological"/>
    <w:p>
      <w:pPr>
        <w:pStyle w:val="Bibliography"/>
      </w:pPr>
      <w:r>
        <w:t xml:space="preserve">Deguette, A., Barrote, I., Silva, J., 2022. Physiological and morphological effects of a marine heatwave on the seagrass cymodocea nodosa. Scientific Reports 12, 7950.</w:t>
      </w:r>
    </w:p>
    <w:bookmarkEnd w:id="72"/>
    <w:bookmarkStart w:id="73" w:name="ref-gardner2018global"/>
    <w:p>
      <w:pPr>
        <w:pStyle w:val="Bibliography"/>
      </w:pPr>
      <w:r>
        <w:t xml:space="preserve">Gardner, R.C., Finlayson, C., 2018. Global wetland outlook: State of the world’s wetlands and their services to people, in: Ramsar Convention Secretariat. pp. 2020–5.</w:t>
      </w:r>
    </w:p>
    <w:bookmarkEnd w:id="73"/>
    <w:bookmarkStart w:id="74"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74"/>
    <w:bookmarkStart w:id="75"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75"/>
    <w:bookmarkStart w:id="76"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76"/>
    <w:bookmarkStart w:id="77" w:name="ref-huete2012vegetation"/>
    <w:p>
      <w:pPr>
        <w:pStyle w:val="Bibliography"/>
      </w:pPr>
      <w:r>
        <w:t xml:space="preserve">Huete, A.R., 2012. Vegetation indices, remote sensing and forest monitoring. Geography Compass 6, 513–532.</w:t>
      </w:r>
    </w:p>
    <w:bookmarkEnd w:id="77"/>
    <w:bookmarkStart w:id="78"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8"/>
    <w:bookmarkStart w:id="79" w:name="ref-kloos2021agricultural"/>
    <w:p>
      <w:pPr>
        <w:pStyle w:val="Bibliography"/>
      </w:pPr>
      <w:r>
        <w:t xml:space="preserve">Kloos, S., Yuan, Y., Castelli, M., Menzel, A., 2021. Agricultural drought detection with MODIS based vegetation health indices in southeast germany. Remote Sensing 13, 3907.</w:t>
      </w:r>
    </w:p>
    <w:bookmarkEnd w:id="79"/>
    <w:bookmarkStart w:id="80"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80"/>
    <w:bookmarkStart w:id="8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1"/>
    <w:bookmarkStart w:id="82" w:name="ref-perkins2013measurement"/>
    <w:p>
      <w:pPr>
        <w:pStyle w:val="Bibliography"/>
      </w:pPr>
      <w:r>
        <w:t xml:space="preserve">Perkins, S.E., Alexander, L.V., 2013. On the measurement of heat waves. Journal of climate 26, 4500–4517.</w:t>
      </w:r>
    </w:p>
    <w:bookmarkEnd w:id="82"/>
    <w:bookmarkStart w:id="83" w:name="ref-ramesh2020seagrass"/>
    <w:p>
      <w:pPr>
        <w:pStyle w:val="Bibliography"/>
      </w:pPr>
      <w:r>
        <w:t xml:space="preserve">Ramesh, C., Mohanraju, R., 2020. Seagrass ecosystems of andaman and nicobar islands: Status and future perspective. Environmental &amp; Earth Sciences Research Journal 7.</w:t>
      </w:r>
    </w:p>
    <w:bookmarkEnd w:id="83"/>
    <w:bookmarkStart w:id="84" w:name="ref-rouse1974monitoring"/>
    <w:p>
      <w:pPr>
        <w:pStyle w:val="Bibliography"/>
      </w:pPr>
      <w:r>
        <w:t xml:space="preserve">Rouse, J.W., Haas, R.H., Schell, J.A., Deering, D.W., others, 1974. Monitoring vegetation systems in the great plains with ERTS. NASA Spec. Publ 351, 309.</w:t>
      </w:r>
    </w:p>
    <w:bookmarkEnd w:id="84"/>
    <w:bookmarkStart w:id="85"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5"/>
    <w:bookmarkStart w:id="86" w:name="ref-schlegel2017nearshore"/>
    <w:p>
      <w:pPr>
        <w:pStyle w:val="Bibliography"/>
      </w:pPr>
      <w:r>
        <w:t xml:space="preserve">Schlegel, R.W., Oliver, E.C., Wernberg, T., Smit, A.J., 2017. Nearshore and offshore co-occurrence of marine heatwaves and cold-spells. Progress in Oceanography 151, 189–205.</w:t>
      </w:r>
    </w:p>
    <w:bookmarkEnd w:id="86"/>
    <w:bookmarkStart w:id="88"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7">
        <w:r>
          <w:rPr>
            <w:rStyle w:val="Hyperlink"/>
          </w:rPr>
          <w:t xml:space="preserve">https://doi.org/10.21105/joss.00821</w:t>
        </w:r>
      </w:hyperlink>
    </w:p>
    <w:bookmarkEnd w:id="88"/>
    <w:bookmarkStart w:id="89"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
    <w:bookmarkStart w:id="90"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90"/>
    <w:bookmarkStart w:id="91"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91"/>
    <w:bookmarkStart w:id="9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2"/>
    <w:bookmarkStart w:id="93"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3"/>
    <w:bookmarkStart w:id="94" w:name="ref-unsworth2022planetary"/>
    <w:p>
      <w:pPr>
        <w:pStyle w:val="Bibliography"/>
      </w:pPr>
      <w:r>
        <w:t xml:space="preserve">Unsworth, R.K., Cullen-Unsworth, L.C., Jones, B.L., Lilley, R.J., 2022. The planetary role of seagrass conservation. Science 377, 609–613.</w:t>
      </w:r>
    </w:p>
    <w:bookmarkEnd w:id="94"/>
    <w:bookmarkStart w:id="95"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5"/>
    <w:bookmarkStart w:id="96"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6"/>
    <w:bookmarkStart w:id="97"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7"/>
    <w:bookmarkStart w:id="98"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21" Target="media/rId21.png" /><Relationship Type="http://schemas.openxmlformats.org/officeDocument/2006/relationships/image" Id="rId62" Target="media/rId62.png" /><Relationship Type="http://schemas.openxmlformats.org/officeDocument/2006/relationships/image" Id="rId26" Target="media/rId26.png" /><Relationship Type="http://schemas.openxmlformats.org/officeDocument/2006/relationships/hyperlink" Id="rId87" Target="https://doi.org/10.21105/joss.00821" TargetMode="External" /><Relationship Type="http://schemas.openxmlformats.org/officeDocument/2006/relationships/hyperlink" Id="rId70"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3"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87" Target="https://doi.org/10.21105/joss.00821" TargetMode="External" /><Relationship Type="http://schemas.openxmlformats.org/officeDocument/2006/relationships/hyperlink" Id="rId70"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3"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2024-10-19T15:57:42Z</dcterms:created>
  <dcterms:modified xsi:type="dcterms:W3CDTF">2024-10-19T15:57:42Z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2024-10-19</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